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0C844"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Персональный состав педагогических работников на 2024-2025 учебный год</w:t>
      </w:r>
    </w:p>
    <w:p w14:paraId="42B0A973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SimSun" w:hAnsi="SimSun" w:eastAsia="SimSun" w:cs="SimSun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</w:p>
    <w:tbl>
      <w:tblPr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511"/>
        <w:gridCol w:w="1536"/>
        <w:gridCol w:w="1225"/>
        <w:gridCol w:w="1262"/>
        <w:gridCol w:w="1456"/>
        <w:gridCol w:w="1180"/>
        <w:gridCol w:w="2437"/>
        <w:gridCol w:w="814"/>
        <w:gridCol w:w="1473"/>
        <w:gridCol w:w="862"/>
      </w:tblGrid>
      <w:tr w14:paraId="5C27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4C6361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№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3F08562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Фамилия Имя Отчество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1EB567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Занимаемая должность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7DA56E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Преподаваемая дисциплина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38705F8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Уровень образования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BF14954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Квалификация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DAC287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Направление подготовки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112ED31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Повышение квалификации или профессиональная переподготовки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50B3FA9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Общий стаж работы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2650A80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Общий стаж работы по специальности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DB30E30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Ученая степень</w:t>
            </w:r>
          </w:p>
        </w:tc>
      </w:tr>
      <w:tr w14:paraId="581A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DED412C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BE4E84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Савельева Ольга Александровна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6423F38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Преподаватель 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42F1FE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ДОП Психология управления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ADD3C7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высшее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02B6A32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Преподаватель истории  и социально-плитических дисциплин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8939C37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44.03.01.</w:t>
            </w:r>
          </w:p>
          <w:p w14:paraId="3CA36F1E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преподаватель истории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D1825F6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Бизнес тренер 2015,2016</w:t>
            </w:r>
          </w:p>
          <w:p w14:paraId="31BC6D54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</w:rPr>
              <w:t> Сертифицированный коуч (ICF, IAGS), командный коуч TTISI (DISC&amp;M/DF+EQ), ментор ССЕ.  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6715629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6EA7C8C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ru-RU"/>
              </w:rPr>
              <w:t>23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9216323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40" w:beforeAutospacing="0" w:after="240" w:afterAutospacing="0" w:line="12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Кандидат психологических наук</w:t>
            </w:r>
          </w:p>
        </w:tc>
      </w:tr>
    </w:tbl>
    <w:p w14:paraId="36010EE8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0CDA"/>
    <w:rsid w:val="1155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2025-06-20T09:24:00Z</dcterms:created>
  <dc:creator>User</dc:creator>
  <cp:lastModifiedBy>User</cp:lastModifiedBy>
  <dcterms:modified xsi:type="dcterms:W3CDTF">2025-06-20T09:25:45Z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587BECA4DEFF41628C77F63AD021952A_11</vt:lpwstr>
  </property>
</Properties>
</file>